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F12A9B"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6F1742">
        <w:t>#96-e</w:t>
      </w:r>
      <w:r>
        <w:rPr>
          <w:rFonts w:eastAsia="宋体" w:hint="eastAsia"/>
          <w:lang w:eastAsia="zh-CN"/>
        </w:rPr>
        <w:t xml:space="preserve">          </w:t>
      </w:r>
      <w:r w:rsidR="006F1742">
        <w:rPr>
          <w:rFonts w:eastAsia="宋体"/>
          <w:lang w:eastAsia="zh-CN"/>
        </w:rPr>
        <w:t xml:space="preserve">       </w:t>
      </w:r>
      <w:r>
        <w:rPr>
          <w:rFonts w:eastAsia="宋体" w:hint="eastAsia"/>
          <w:lang w:eastAsia="zh-CN"/>
        </w:rPr>
        <w:t xml:space="preserve">                      </w:t>
      </w:r>
      <w:bookmarkStart w:id="2" w:name="_GoBack"/>
      <w:bookmarkEnd w:id="2"/>
      <w:r w:rsidR="00F25F40" w:rsidRPr="0030744C">
        <w:rPr>
          <w:rFonts w:eastAsia="宋体" w:hint="eastAsia"/>
          <w:lang w:eastAsia="zh-CN"/>
        </w:rPr>
        <w:t xml:space="preserve">  </w:t>
      </w:r>
      <w:r w:rsidR="00C6567C" w:rsidRPr="00C6567C">
        <w:t>R4-2010817</w:t>
      </w:r>
    </w:p>
    <w:p w:rsidR="00675C27" w:rsidRPr="00444A16" w:rsidRDefault="006F1742" w:rsidP="00F71A33">
      <w:pPr>
        <w:pStyle w:val="a1"/>
        <w:rPr>
          <w:rFonts w:eastAsia="宋体" w:hint="eastAsia"/>
          <w:lang w:eastAsia="zh-CN"/>
        </w:rPr>
      </w:pPr>
      <w:r>
        <w:rPr>
          <w:rFonts w:eastAsia="宋体"/>
          <w:lang w:eastAsia="zh-CN"/>
        </w:rPr>
        <w:t>Electronic Meeting, 17-28 Aug</w:t>
      </w:r>
      <w:r w:rsidRPr="00BD3E28">
        <w:rPr>
          <w:rFonts w:eastAsia="宋体"/>
          <w:lang w:eastAsia="zh-CN"/>
        </w:rPr>
        <w:t>,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25676">
        <w:rPr>
          <w:rFonts w:ascii="Arial" w:hAnsi="Arial" w:cs="Arial" w:hint="eastAsia"/>
          <w:sz w:val="22"/>
        </w:rPr>
        <w:t xml:space="preserve">SNR </w:t>
      </w:r>
      <w:r w:rsidR="004862CF">
        <w:rPr>
          <w:rFonts w:ascii="Arial" w:hAnsi="Arial" w:cs="Arial"/>
          <w:sz w:val="22"/>
        </w:rPr>
        <w:t>evaluation</w:t>
      </w:r>
      <w:r w:rsidR="004862CF">
        <w:rPr>
          <w:rFonts w:ascii="Arial" w:hAnsi="Arial" w:cs="Arial" w:hint="eastAsia"/>
          <w:sz w:val="22"/>
        </w:rPr>
        <w:t xml:space="preserve"> </w:t>
      </w:r>
      <w:r w:rsidR="00625676">
        <w:rPr>
          <w:rFonts w:ascii="Arial" w:hAnsi="Arial" w:cs="Arial" w:hint="eastAsia"/>
          <w:sz w:val="22"/>
        </w:rPr>
        <w:t>for NR</w:t>
      </w:r>
      <w:r w:rsidR="004A50E9">
        <w:rPr>
          <w:rFonts w:ascii="Arial" w:hAnsi="Arial" w:cs="Arial"/>
          <w:sz w:val="22"/>
        </w:rPr>
        <w:t>-V2X</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6F1742">
        <w:rPr>
          <w:rFonts w:ascii="Arial" w:hAnsi="Arial" w:cs="Arial"/>
          <w:sz w:val="22"/>
        </w:rPr>
        <w:t>7.3.3.2</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4A50E9">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7A54D1" w:rsidP="00506149">
      <w:pPr>
        <w:rPr>
          <w:rFonts w:hint="eastAsia"/>
        </w:rPr>
      </w:pPr>
      <w:r>
        <w:t xml:space="preserve">There are some remaining issues for NR V2X in last RAN4 meeting [1]. </w:t>
      </w:r>
      <w:r w:rsidR="004A50E9">
        <w:t xml:space="preserve">In order to get the </w:t>
      </w:r>
      <w:r>
        <w:t xml:space="preserve">correct </w:t>
      </w:r>
      <w:r w:rsidR="004A50E9">
        <w:t xml:space="preserve">requirement of </w:t>
      </w:r>
      <w:r w:rsidR="004A50E9">
        <w:rPr>
          <w:rFonts w:hint="eastAsia"/>
        </w:rPr>
        <w:t>UE REFSENS</w:t>
      </w:r>
      <w:r w:rsidR="004A50E9">
        <w:t>, SNR should be decided firstly.</w:t>
      </w:r>
      <w:r w:rsidR="007270C6">
        <w:rPr>
          <w:rFonts w:hint="eastAsia"/>
        </w:rPr>
        <w:t xml:space="preserve"> Usually SNR is derived based on link level simulation. Based on simulation assumptions in [1], preliminary SNR values are provided for NR </w:t>
      </w:r>
      <w:r w:rsidR="004862CF">
        <w:t>V2X</w:t>
      </w:r>
      <w:r w:rsidR="007270C6">
        <w:rPr>
          <w:rFonts w:hint="eastAsia"/>
        </w:rPr>
        <w:t>.</w:t>
      </w:r>
    </w:p>
    <w:p w:rsidR="00062E8E" w:rsidRDefault="00062E8E" w:rsidP="00F23E96">
      <w:pPr>
        <w:pStyle w:val="Heading1"/>
        <w:spacing w:after="240"/>
        <w:rPr>
          <w:rFonts w:eastAsia="宋体" w:hint="eastAsia"/>
          <w:lang w:eastAsia="zh-CN"/>
        </w:rPr>
      </w:pPr>
      <w:r>
        <w:rPr>
          <w:rFonts w:eastAsia="宋体" w:hint="eastAsia"/>
          <w:lang w:eastAsia="zh-CN"/>
        </w:rPr>
        <w:t>Discussion</w:t>
      </w:r>
    </w:p>
    <w:p w:rsidR="00652A0C" w:rsidRDefault="007270C6" w:rsidP="0051638B">
      <w:pPr>
        <w:rPr>
          <w:rFonts w:hint="eastAsia"/>
          <w:lang w:val="en-US"/>
        </w:rPr>
      </w:pPr>
      <w:r>
        <w:rPr>
          <w:rFonts w:hint="eastAsia"/>
          <w:lang w:val="en-US"/>
        </w:rPr>
        <w:t xml:space="preserve">The simulation </w:t>
      </w:r>
      <w:r>
        <w:rPr>
          <w:lang w:val="en-US"/>
        </w:rPr>
        <w:t>assumptions</w:t>
      </w:r>
      <w:r>
        <w:rPr>
          <w:rFonts w:hint="eastAsia"/>
          <w:lang w:val="en-US"/>
        </w:rPr>
        <w:t xml:space="preserve"> in [</w:t>
      </w:r>
      <w:r w:rsidR="007A54D1">
        <w:rPr>
          <w:lang w:val="en-US"/>
        </w:rPr>
        <w:t>2</w:t>
      </w:r>
      <w:r>
        <w:rPr>
          <w:rFonts w:hint="eastAsia"/>
          <w:lang w:val="en-US"/>
        </w:rPr>
        <w:t>] are cited as below, which is the basis for deriving the SNR values.</w:t>
      </w:r>
    </w:p>
    <w:p w:rsidR="007270C6" w:rsidRPr="007270C6" w:rsidRDefault="007270C6" w:rsidP="007270C6">
      <w:pPr>
        <w:spacing w:afterLines="50" w:after="120"/>
        <w:jc w:val="center"/>
        <w:rPr>
          <w:rFonts w:ascii="Arial" w:hAnsi="Arial" w:cs="Arial"/>
        </w:rPr>
      </w:pPr>
      <w:r w:rsidRPr="007270C6">
        <w:rPr>
          <w:rFonts w:ascii="Arial" w:hAnsi="Arial" w:cs="Arial"/>
          <w:b/>
          <w:lang w:val="en-US"/>
        </w:rPr>
        <w:t xml:space="preserve">Table 1: </w:t>
      </w:r>
      <w:r w:rsidRPr="007270C6">
        <w:rPr>
          <w:rFonts w:ascii="Arial" w:hAnsi="Arial" w:cs="Arial"/>
          <w:b/>
        </w:rPr>
        <w:t>Simulation assumptions for required SNR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8"/>
        <w:gridCol w:w="3658"/>
      </w:tblGrid>
      <w:tr w:rsidR="007270C6" w:rsidRPr="0093314D" w:rsidTr="000C0E72">
        <w:trPr>
          <w:jc w:val="center"/>
        </w:trPr>
        <w:tc>
          <w:tcPr>
            <w:tcW w:w="0" w:type="auto"/>
          </w:tcPr>
          <w:p w:rsidR="007270C6" w:rsidRPr="0093314D" w:rsidRDefault="007270C6" w:rsidP="000C0E72">
            <w:pPr>
              <w:pStyle w:val="TAH"/>
              <w:rPr>
                <w:rFonts w:cs="Arial" w:hint="eastAsia"/>
              </w:rPr>
            </w:pPr>
            <w:r>
              <w:rPr>
                <w:rFonts w:cs="Arial" w:hint="eastAsia"/>
              </w:rPr>
              <w:t>Parameters</w:t>
            </w:r>
          </w:p>
        </w:tc>
        <w:tc>
          <w:tcPr>
            <w:tcW w:w="0" w:type="auto"/>
          </w:tcPr>
          <w:p w:rsidR="007270C6" w:rsidRPr="0093314D" w:rsidRDefault="007270C6" w:rsidP="000C0E72">
            <w:pPr>
              <w:pStyle w:val="TAH"/>
              <w:rPr>
                <w:rFonts w:cs="Arial" w:hint="eastAsia"/>
              </w:rPr>
            </w:pPr>
            <w:r>
              <w:rPr>
                <w:rFonts w:cs="Arial" w:hint="eastAsia"/>
              </w:rPr>
              <w:t>Assumption</w:t>
            </w:r>
          </w:p>
        </w:tc>
      </w:tr>
      <w:tr w:rsidR="007270C6" w:rsidRPr="0091081B" w:rsidTr="000C0E72">
        <w:trPr>
          <w:jc w:val="center"/>
        </w:trPr>
        <w:tc>
          <w:tcPr>
            <w:tcW w:w="0" w:type="auto"/>
          </w:tcPr>
          <w:p w:rsidR="007270C6" w:rsidRPr="0026045F" w:rsidRDefault="007270C6" w:rsidP="000C0E72">
            <w:pPr>
              <w:pStyle w:val="TAL"/>
              <w:rPr>
                <w:rFonts w:cs="Arial" w:hint="eastAsia"/>
              </w:rPr>
            </w:pPr>
            <w:r>
              <w:rPr>
                <w:rFonts w:cs="Arial" w:hint="eastAsia"/>
              </w:rPr>
              <w:t>P</w:t>
            </w:r>
            <w:r w:rsidRPr="002B6B84">
              <w:rPr>
                <w:rFonts w:cs="Arial" w:hint="eastAsia"/>
              </w:rPr>
              <w:t>ropagation condition</w:t>
            </w:r>
          </w:p>
        </w:tc>
        <w:tc>
          <w:tcPr>
            <w:tcW w:w="0" w:type="auto"/>
          </w:tcPr>
          <w:p w:rsidR="007270C6" w:rsidRPr="002B6B84" w:rsidRDefault="007270C6" w:rsidP="000C0E72">
            <w:pPr>
              <w:pStyle w:val="TAC"/>
              <w:rPr>
                <w:rFonts w:cs="Arial" w:hint="eastAsia"/>
              </w:rPr>
            </w:pPr>
            <w:r w:rsidRPr="002B6B84">
              <w:rPr>
                <w:rFonts w:cs="Arial" w:hint="eastAsia"/>
              </w:rPr>
              <w:t>AWGN</w:t>
            </w:r>
          </w:p>
        </w:tc>
      </w:tr>
      <w:tr w:rsidR="007270C6" w:rsidRPr="0010268C" w:rsidTr="000C0E72">
        <w:trPr>
          <w:jc w:val="center"/>
        </w:trPr>
        <w:tc>
          <w:tcPr>
            <w:tcW w:w="0" w:type="auto"/>
          </w:tcPr>
          <w:p w:rsidR="007270C6" w:rsidRPr="001E2D04" w:rsidRDefault="007270C6" w:rsidP="000C0E72">
            <w:pPr>
              <w:pStyle w:val="TAL"/>
              <w:rPr>
                <w:rFonts w:cs="Arial"/>
              </w:rPr>
            </w:pPr>
            <w:r w:rsidRPr="002B6B84">
              <w:rPr>
                <w:rFonts w:cs="Arial"/>
              </w:rPr>
              <w:t>Antenna configuration</w:t>
            </w:r>
          </w:p>
        </w:tc>
        <w:tc>
          <w:tcPr>
            <w:tcW w:w="0" w:type="auto"/>
          </w:tcPr>
          <w:p w:rsidR="007270C6" w:rsidRPr="00A319F7" w:rsidRDefault="007270C6" w:rsidP="000C0E72">
            <w:pPr>
              <w:pStyle w:val="TAC"/>
              <w:rPr>
                <w:rFonts w:cs="Arial" w:hint="eastAsia"/>
              </w:rPr>
            </w:pPr>
            <w:r>
              <w:t>1x</w:t>
            </w:r>
            <w:r>
              <w:rPr>
                <w:rFonts w:hint="eastAsia"/>
              </w:rPr>
              <w:t>1</w:t>
            </w:r>
          </w:p>
        </w:tc>
      </w:tr>
      <w:tr w:rsidR="007270C6" w:rsidRPr="0091081B" w:rsidTr="000C0E72">
        <w:trPr>
          <w:jc w:val="center"/>
        </w:trPr>
        <w:tc>
          <w:tcPr>
            <w:tcW w:w="0" w:type="auto"/>
          </w:tcPr>
          <w:p w:rsidR="007270C6" w:rsidRPr="0026045F" w:rsidRDefault="007270C6" w:rsidP="000C0E72">
            <w:pPr>
              <w:pStyle w:val="TAL"/>
              <w:rPr>
                <w:rFonts w:cs="Arial" w:hint="eastAsia"/>
              </w:rPr>
            </w:pPr>
            <w:r>
              <w:rPr>
                <w:rFonts w:cs="Arial" w:hint="eastAsia"/>
              </w:rPr>
              <w:t>Modulation</w:t>
            </w:r>
          </w:p>
        </w:tc>
        <w:tc>
          <w:tcPr>
            <w:tcW w:w="0" w:type="auto"/>
          </w:tcPr>
          <w:p w:rsidR="007270C6" w:rsidRPr="002B6B84" w:rsidRDefault="007270C6" w:rsidP="000C0E72">
            <w:pPr>
              <w:pStyle w:val="TAC"/>
              <w:rPr>
                <w:rFonts w:cs="Arial" w:hint="eastAsia"/>
              </w:rPr>
            </w:pPr>
            <w:r>
              <w:rPr>
                <w:rFonts w:cs="Arial" w:hint="eastAsia"/>
              </w:rPr>
              <w:t>QPSK</w:t>
            </w:r>
          </w:p>
        </w:tc>
      </w:tr>
      <w:tr w:rsidR="007270C6" w:rsidRPr="0010268C" w:rsidTr="000C0E72">
        <w:trPr>
          <w:jc w:val="center"/>
        </w:trPr>
        <w:tc>
          <w:tcPr>
            <w:tcW w:w="0" w:type="auto"/>
          </w:tcPr>
          <w:p w:rsidR="007270C6" w:rsidRPr="001E2D04" w:rsidRDefault="007270C6" w:rsidP="000C0E72">
            <w:pPr>
              <w:pStyle w:val="TAL"/>
              <w:rPr>
                <w:rFonts w:cs="Arial"/>
              </w:rPr>
            </w:pPr>
            <w:r>
              <w:rPr>
                <w:rFonts w:cs="Arial" w:hint="eastAsia"/>
              </w:rPr>
              <w:t>Code rate</w:t>
            </w:r>
          </w:p>
        </w:tc>
        <w:tc>
          <w:tcPr>
            <w:tcW w:w="0" w:type="auto"/>
          </w:tcPr>
          <w:p w:rsidR="007270C6" w:rsidRPr="002B6B84" w:rsidRDefault="004A50E9" w:rsidP="000C0E72">
            <w:pPr>
              <w:pStyle w:val="TAC"/>
              <w:rPr>
                <w:rFonts w:cs="Arial" w:hint="eastAsia"/>
              </w:rPr>
            </w:pPr>
            <w:r>
              <w:t>307/1024</w:t>
            </w:r>
          </w:p>
        </w:tc>
      </w:tr>
      <w:tr w:rsidR="007270C6" w:rsidRPr="0091081B" w:rsidTr="000C0E72">
        <w:trPr>
          <w:jc w:val="center"/>
        </w:trPr>
        <w:tc>
          <w:tcPr>
            <w:tcW w:w="0" w:type="auto"/>
          </w:tcPr>
          <w:p w:rsidR="007270C6" w:rsidRPr="0026045F" w:rsidRDefault="007270C6" w:rsidP="000C0E72">
            <w:pPr>
              <w:pStyle w:val="TAL"/>
              <w:rPr>
                <w:rFonts w:cs="Arial" w:hint="eastAsia"/>
              </w:rPr>
            </w:pPr>
            <w:r>
              <w:rPr>
                <w:lang w:val="en-US"/>
              </w:rPr>
              <w:t>LDPC base graph</w:t>
            </w:r>
          </w:p>
        </w:tc>
        <w:tc>
          <w:tcPr>
            <w:tcW w:w="0" w:type="auto"/>
          </w:tcPr>
          <w:p w:rsidR="007270C6" w:rsidRPr="002B6B84" w:rsidRDefault="007270C6" w:rsidP="000C0E72">
            <w:pPr>
              <w:pStyle w:val="TAC"/>
              <w:rPr>
                <w:rFonts w:cs="Arial" w:hint="eastAsia"/>
              </w:rPr>
            </w:pPr>
            <w:r>
              <w:t>1 or 2 depend on the TB size selected</w:t>
            </w:r>
          </w:p>
        </w:tc>
      </w:tr>
      <w:tr w:rsidR="007270C6" w:rsidRPr="0010268C" w:rsidTr="000C0E72">
        <w:trPr>
          <w:jc w:val="center"/>
        </w:trPr>
        <w:tc>
          <w:tcPr>
            <w:tcW w:w="0" w:type="auto"/>
          </w:tcPr>
          <w:p w:rsidR="007270C6" w:rsidRPr="001E2D04" w:rsidRDefault="007270C6" w:rsidP="000C0E72">
            <w:pPr>
              <w:pStyle w:val="TAL"/>
              <w:rPr>
                <w:rFonts w:cs="Arial"/>
              </w:rPr>
            </w:pPr>
            <w:r>
              <w:rPr>
                <w:rFonts w:cs="Arial" w:hint="eastAsia"/>
              </w:rPr>
              <w:t>Transmission mode</w:t>
            </w:r>
          </w:p>
        </w:tc>
        <w:tc>
          <w:tcPr>
            <w:tcW w:w="0" w:type="auto"/>
          </w:tcPr>
          <w:p w:rsidR="007270C6" w:rsidRPr="000310F8" w:rsidRDefault="007270C6" w:rsidP="000C0E72">
            <w:pPr>
              <w:pStyle w:val="TAC"/>
              <w:rPr>
                <w:rFonts w:cs="Arial" w:hint="eastAsia"/>
              </w:rPr>
            </w:pPr>
            <w:r>
              <w:rPr>
                <w:rFonts w:hint="eastAsia"/>
              </w:rPr>
              <w:t>1 layer, single DMRS port</w:t>
            </w:r>
            <w:r w:rsidR="004A50E9">
              <w:t>,2DMRS symbols</w:t>
            </w:r>
          </w:p>
        </w:tc>
      </w:tr>
      <w:tr w:rsidR="007270C6" w:rsidRPr="0091081B" w:rsidTr="000C0E72">
        <w:trPr>
          <w:jc w:val="center"/>
        </w:trPr>
        <w:tc>
          <w:tcPr>
            <w:tcW w:w="0" w:type="auto"/>
          </w:tcPr>
          <w:p w:rsidR="007270C6" w:rsidRPr="0026045F" w:rsidRDefault="007270C6" w:rsidP="008204EF">
            <w:pPr>
              <w:pStyle w:val="TAL"/>
              <w:rPr>
                <w:rFonts w:cs="Arial" w:hint="eastAsia"/>
              </w:rPr>
            </w:pPr>
            <w:r>
              <w:rPr>
                <w:rFonts w:cs="Arial" w:hint="eastAsia"/>
              </w:rPr>
              <w:t>P</w:t>
            </w:r>
            <w:r w:rsidR="004A50E9">
              <w:rPr>
                <w:rFonts w:cs="Arial"/>
              </w:rPr>
              <w:t>S</w:t>
            </w:r>
            <w:r>
              <w:rPr>
                <w:rFonts w:cs="Arial" w:hint="eastAsia"/>
              </w:rPr>
              <w:t xml:space="preserve">CCH </w:t>
            </w:r>
            <w:r w:rsidR="008204EF">
              <w:rPr>
                <w:rFonts w:cs="Arial"/>
              </w:rPr>
              <w:t>overhead</w:t>
            </w:r>
          </w:p>
        </w:tc>
        <w:tc>
          <w:tcPr>
            <w:tcW w:w="0" w:type="auto"/>
          </w:tcPr>
          <w:p w:rsidR="007270C6" w:rsidRPr="002B6B84" w:rsidRDefault="008204EF" w:rsidP="000C0E72">
            <w:pPr>
              <w:pStyle w:val="TAC"/>
              <w:rPr>
                <w:rFonts w:cs="Arial" w:hint="eastAsia"/>
              </w:rPr>
            </w:pPr>
            <w:r>
              <w:rPr>
                <w:rFonts w:cs="Arial"/>
              </w:rPr>
              <w:t>10PRBs, 3symbols</w:t>
            </w:r>
          </w:p>
        </w:tc>
      </w:tr>
      <w:tr w:rsidR="008204EF" w:rsidRPr="0091081B" w:rsidTr="000C0E72">
        <w:trPr>
          <w:jc w:val="center"/>
        </w:trPr>
        <w:tc>
          <w:tcPr>
            <w:tcW w:w="0" w:type="auto"/>
          </w:tcPr>
          <w:p w:rsidR="008204EF" w:rsidRDefault="008204EF" w:rsidP="004A50E9">
            <w:pPr>
              <w:pStyle w:val="TAL"/>
              <w:rPr>
                <w:rFonts w:cs="Arial" w:hint="eastAsia"/>
              </w:rPr>
            </w:pPr>
            <w:r>
              <w:rPr>
                <w:rFonts w:cs="Arial"/>
              </w:rPr>
              <w:t>PSSCH symbols</w:t>
            </w:r>
            <w:r w:rsidR="00FC0D1B">
              <w:rPr>
                <w:rFonts w:cs="Arial"/>
              </w:rPr>
              <w:t>(exclude AGC and GAP symbol)</w:t>
            </w:r>
          </w:p>
        </w:tc>
        <w:tc>
          <w:tcPr>
            <w:tcW w:w="0" w:type="auto"/>
          </w:tcPr>
          <w:p w:rsidR="008204EF" w:rsidRDefault="008204EF" w:rsidP="000C0E72">
            <w:pPr>
              <w:pStyle w:val="TAC"/>
              <w:rPr>
                <w:rFonts w:cs="Arial"/>
              </w:rPr>
            </w:pPr>
            <w:r>
              <w:rPr>
                <w:rFonts w:cs="Arial" w:hint="eastAsia"/>
              </w:rPr>
              <w:t>1</w:t>
            </w:r>
            <w:r>
              <w:rPr>
                <w:rFonts w:cs="Arial"/>
              </w:rPr>
              <w:t>2</w:t>
            </w:r>
          </w:p>
        </w:tc>
      </w:tr>
    </w:tbl>
    <w:p w:rsidR="007270C6" w:rsidRDefault="008204EF" w:rsidP="00036DDC">
      <w:pPr>
        <w:spacing w:beforeLines="50" w:before="120"/>
        <w:jc w:val="both"/>
      </w:pPr>
      <w:r>
        <w:rPr>
          <w:rFonts w:hint="eastAsia"/>
        </w:rPr>
        <w:t xml:space="preserve">It is noted that under AWGN channel, the SNR has no </w:t>
      </w:r>
      <w:r>
        <w:t>difference</w:t>
      </w:r>
      <w:r>
        <w:rPr>
          <w:rFonts w:hint="eastAsia"/>
        </w:rPr>
        <w:t xml:space="preserve"> for different SCS and the demodulation performance for CP-OFDM is the same as well</w:t>
      </w:r>
      <w:r>
        <w:t>, and the BER increase</w:t>
      </w:r>
      <w:r w:rsidR="007A54D1">
        <w:t>s</w:t>
      </w:r>
      <w:r>
        <w:t xml:space="preserve"> with decrease of code block length. Thus the worst case should be </w:t>
      </w:r>
      <w:r w:rsidR="007A54D1">
        <w:t xml:space="preserve">the </w:t>
      </w:r>
      <w:r>
        <w:t>simulation when bandwidth is 10MHz with 60 kHz SCS.</w:t>
      </w:r>
      <w:r w:rsidR="007F0555">
        <w:t xml:space="preserve"> The link level simulation result is shown in</w:t>
      </w:r>
      <w:r w:rsidR="00C77518">
        <w:t xml:space="preserve"> </w:t>
      </w:r>
      <w:r w:rsidR="00C77518">
        <w:fldChar w:fldCharType="begin"/>
      </w:r>
      <w:r w:rsidR="00C77518">
        <w:instrText xml:space="preserve"> REF _Ref47691912 \h </w:instrText>
      </w:r>
      <w:r w:rsidR="00C77518">
        <w:fldChar w:fldCharType="separate"/>
      </w:r>
      <w:r w:rsidR="00C77518">
        <w:t xml:space="preserve">Figure </w:t>
      </w:r>
      <w:r w:rsidR="00C77518">
        <w:rPr>
          <w:noProof/>
        </w:rPr>
        <w:t>1</w:t>
      </w:r>
      <w:r w:rsidR="00C77518">
        <w:fldChar w:fldCharType="end"/>
      </w:r>
      <w:r w:rsidR="007F0555">
        <w:t>.</w:t>
      </w:r>
    </w:p>
    <w:p w:rsidR="00C77518" w:rsidRDefault="00F053C1" w:rsidP="00C77518">
      <w:pPr>
        <w:keepNext/>
        <w:spacing w:beforeLines="50" w:before="120"/>
        <w:jc w:val="center"/>
      </w:pPr>
      <w:r>
        <w:rPr>
          <w:noProof/>
          <w:lang w:val="en-US"/>
        </w:rPr>
        <w:drawing>
          <wp:inline distT="0" distB="0" distL="0" distR="0">
            <wp:extent cx="3260725" cy="2634615"/>
            <wp:effectExtent l="0" t="0" r="0" b="0"/>
            <wp:docPr id="1" name="Picture 1" descr="C:\Users\g00443958\AppData\Roaming\eSpace_Desktop\UserData\g00443958\imagefiles\1280C24D-6A11-48F1-BB17-06B4A51DBC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443958\AppData\Roaming\eSpace_Desktop\UserData\g00443958\imagefiles\1280C24D-6A11-48F1-BB17-06B4A51DBCAC.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60725" cy="2634615"/>
                    </a:xfrm>
                    <a:prstGeom prst="rect">
                      <a:avLst/>
                    </a:prstGeom>
                    <a:noFill/>
                    <a:ln>
                      <a:noFill/>
                    </a:ln>
                  </pic:spPr>
                </pic:pic>
              </a:graphicData>
            </a:graphic>
          </wp:inline>
        </w:drawing>
      </w:r>
    </w:p>
    <w:p w:rsidR="00C77518" w:rsidRPr="00C6567C" w:rsidRDefault="00C77518" w:rsidP="00C77518">
      <w:pPr>
        <w:pStyle w:val="Caption"/>
        <w:jc w:val="center"/>
        <w:rPr>
          <w:rFonts w:ascii="Arial" w:hAnsi="Arial" w:cs="Arial"/>
        </w:rPr>
      </w:pPr>
      <w:bookmarkStart w:id="3" w:name="_Ref47691912"/>
      <w:r w:rsidRPr="00C6567C">
        <w:rPr>
          <w:rFonts w:ascii="Arial" w:hAnsi="Arial" w:cs="Arial"/>
        </w:rPr>
        <w:t xml:space="preserve">Figure </w:t>
      </w:r>
      <w:r w:rsidRPr="00C6567C">
        <w:rPr>
          <w:rFonts w:ascii="Arial" w:hAnsi="Arial" w:cs="Arial"/>
        </w:rPr>
        <w:fldChar w:fldCharType="begin"/>
      </w:r>
      <w:r w:rsidRPr="00C6567C">
        <w:rPr>
          <w:rFonts w:ascii="Arial" w:hAnsi="Arial" w:cs="Arial"/>
        </w:rPr>
        <w:instrText xml:space="preserve"> SEQ Figure \* ARABIC </w:instrText>
      </w:r>
      <w:r w:rsidRPr="00C6567C">
        <w:rPr>
          <w:rFonts w:ascii="Arial" w:hAnsi="Arial" w:cs="Arial"/>
        </w:rPr>
        <w:fldChar w:fldCharType="separate"/>
      </w:r>
      <w:r w:rsidRPr="00C6567C">
        <w:rPr>
          <w:rFonts w:ascii="Arial" w:hAnsi="Arial" w:cs="Arial"/>
          <w:noProof/>
        </w:rPr>
        <w:t>1</w:t>
      </w:r>
      <w:r w:rsidRPr="00C6567C">
        <w:rPr>
          <w:rFonts w:ascii="Arial" w:hAnsi="Arial" w:cs="Arial"/>
        </w:rPr>
        <w:fldChar w:fldCharType="end"/>
      </w:r>
      <w:bookmarkEnd w:id="3"/>
      <w:r w:rsidRPr="00C6567C">
        <w:rPr>
          <w:rFonts w:ascii="Arial" w:hAnsi="Arial" w:cs="Arial"/>
        </w:rPr>
        <w:t xml:space="preserve"> NR-V2X </w:t>
      </w:r>
      <w:r w:rsidR="00CA2E4D" w:rsidRPr="00C6567C">
        <w:rPr>
          <w:rFonts w:ascii="Arial" w:hAnsi="Arial" w:cs="Arial"/>
        </w:rPr>
        <w:t xml:space="preserve">UE </w:t>
      </w:r>
      <w:r w:rsidRPr="00C6567C">
        <w:rPr>
          <w:rFonts w:ascii="Arial" w:hAnsi="Arial" w:cs="Arial"/>
        </w:rPr>
        <w:t>SNR evaluation values</w:t>
      </w:r>
    </w:p>
    <w:p w:rsidR="004862CF" w:rsidRPr="004862CF" w:rsidRDefault="004862CF" w:rsidP="004862CF">
      <w:pPr>
        <w:rPr>
          <w:rFonts w:hint="eastAsia"/>
        </w:rPr>
      </w:pPr>
      <w:r>
        <w:t>As a comparison, the SNR simulation result for NR Uu is cited below as well [2].</w:t>
      </w:r>
    </w:p>
    <w:p w:rsidR="007F0555" w:rsidRDefault="00F053C1" w:rsidP="00C6567C">
      <w:pPr>
        <w:keepNext/>
        <w:spacing w:beforeLines="50" w:before="120" w:after="0"/>
        <w:jc w:val="center"/>
      </w:pPr>
      <w:r w:rsidRPr="007270C6">
        <w:rPr>
          <w:noProof/>
          <w:lang w:val="en-US"/>
        </w:rPr>
        <w:lastRenderedPageBreak/>
        <w:drawing>
          <wp:inline distT="0" distB="0" distL="0" distR="0">
            <wp:extent cx="3783965" cy="28397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3965" cy="2839720"/>
                    </a:xfrm>
                    <a:prstGeom prst="rect">
                      <a:avLst/>
                    </a:prstGeom>
                    <a:noFill/>
                    <a:ln>
                      <a:noFill/>
                    </a:ln>
                  </pic:spPr>
                </pic:pic>
              </a:graphicData>
            </a:graphic>
          </wp:inline>
        </w:drawing>
      </w:r>
    </w:p>
    <w:p w:rsidR="007270C6" w:rsidRPr="00C6567C" w:rsidRDefault="007F0555" w:rsidP="00C6567C">
      <w:pPr>
        <w:pStyle w:val="Caption"/>
        <w:spacing w:before="0"/>
        <w:jc w:val="center"/>
        <w:rPr>
          <w:rFonts w:ascii="Arial" w:hAnsi="Arial" w:cs="Arial" w:hint="eastAsia"/>
        </w:rPr>
      </w:pPr>
      <w:bookmarkStart w:id="4" w:name="_Ref47686858"/>
      <w:r w:rsidRPr="00C6567C">
        <w:rPr>
          <w:rFonts w:ascii="Arial" w:hAnsi="Arial" w:cs="Arial"/>
        </w:rPr>
        <w:t xml:space="preserve">Figure </w:t>
      </w:r>
      <w:r w:rsidRPr="00C6567C">
        <w:rPr>
          <w:rFonts w:ascii="Arial" w:hAnsi="Arial" w:cs="Arial"/>
        </w:rPr>
        <w:fldChar w:fldCharType="begin"/>
      </w:r>
      <w:r w:rsidRPr="00C6567C">
        <w:rPr>
          <w:rFonts w:ascii="Arial" w:hAnsi="Arial" w:cs="Arial"/>
        </w:rPr>
        <w:instrText xml:space="preserve"> SEQ Figure \* ARABIC </w:instrText>
      </w:r>
      <w:r w:rsidRPr="00C6567C">
        <w:rPr>
          <w:rFonts w:ascii="Arial" w:hAnsi="Arial" w:cs="Arial"/>
        </w:rPr>
        <w:fldChar w:fldCharType="separate"/>
      </w:r>
      <w:r w:rsidR="00C77518" w:rsidRPr="00C6567C">
        <w:rPr>
          <w:rFonts w:ascii="Arial" w:hAnsi="Arial" w:cs="Arial"/>
        </w:rPr>
        <w:t>2</w:t>
      </w:r>
      <w:r w:rsidRPr="00C6567C">
        <w:rPr>
          <w:rFonts w:ascii="Arial" w:hAnsi="Arial" w:cs="Arial"/>
        </w:rPr>
        <w:fldChar w:fldCharType="end"/>
      </w:r>
      <w:bookmarkEnd w:id="4"/>
      <w:r w:rsidR="00CA2E4D" w:rsidRPr="00C6567C">
        <w:rPr>
          <w:rFonts w:ascii="Arial" w:hAnsi="Arial" w:cs="Arial"/>
        </w:rPr>
        <w:t xml:space="preserve"> NR-Uu UE</w:t>
      </w:r>
      <w:r w:rsidR="00C77518" w:rsidRPr="00C6567C">
        <w:rPr>
          <w:rFonts w:ascii="Arial" w:hAnsi="Arial" w:cs="Arial"/>
        </w:rPr>
        <w:t xml:space="preserve"> </w:t>
      </w:r>
      <w:r w:rsidRPr="00C6567C">
        <w:rPr>
          <w:rFonts w:ascii="Arial" w:hAnsi="Arial" w:cs="Arial"/>
        </w:rPr>
        <w:t>SNR evaluation values</w:t>
      </w:r>
    </w:p>
    <w:p w:rsidR="007270C6" w:rsidRDefault="0016754E" w:rsidP="00036DDC">
      <w:pPr>
        <w:spacing w:beforeLines="50" w:before="120"/>
        <w:jc w:val="both"/>
        <w:rPr>
          <w:rFonts w:hint="eastAsia"/>
        </w:rPr>
      </w:pPr>
      <w:r>
        <w:t xml:space="preserve">We know that for </w:t>
      </w:r>
      <w:r w:rsidR="007F0555">
        <w:t>NR Uu</w:t>
      </w:r>
      <w:r>
        <w:rPr>
          <w:rFonts w:hint="eastAsia"/>
        </w:rPr>
        <w:t xml:space="preserve"> the REFSENS is defined with the assumption that t</w:t>
      </w:r>
      <w:r w:rsidRPr="005D7A6F">
        <w:t>he throughput shall be ≥ 95% of the maximum throughput of the reference measurement channels</w:t>
      </w:r>
      <w:r w:rsidR="00AC0572">
        <w:rPr>
          <w:rFonts w:hint="eastAsia"/>
        </w:rPr>
        <w:t>.</w:t>
      </w:r>
      <w:r>
        <w:rPr>
          <w:rFonts w:hint="eastAsia"/>
        </w:rPr>
        <w:t xml:space="preserve"> </w:t>
      </w:r>
      <w:r w:rsidR="00AC0572">
        <w:rPr>
          <w:rFonts w:hint="eastAsia"/>
        </w:rPr>
        <w:t>S</w:t>
      </w:r>
      <w:r>
        <w:rPr>
          <w:rFonts w:hint="eastAsia"/>
        </w:rPr>
        <w:t>imilar principle can also be used for NR</w:t>
      </w:r>
      <w:r w:rsidR="007F0555">
        <w:t>-V2X</w:t>
      </w:r>
      <w:r>
        <w:rPr>
          <w:rFonts w:hint="eastAsia"/>
        </w:rPr>
        <w:t xml:space="preserve">. </w:t>
      </w:r>
      <w:r w:rsidR="00B96AA0">
        <w:rPr>
          <w:rFonts w:hint="eastAsia"/>
        </w:rPr>
        <w:t>For AWGN channel without retransmission, the 95% throughput can be mapped to the 5% BLER</w:t>
      </w:r>
      <w:r w:rsidR="00AC0572">
        <w:rPr>
          <w:rFonts w:hint="eastAsia"/>
        </w:rPr>
        <w:t xml:space="preserve"> </w:t>
      </w:r>
      <w:r w:rsidR="00AC0572">
        <w:t>in the curves</w:t>
      </w:r>
      <w:r w:rsidR="00B96AA0">
        <w:rPr>
          <w:rFonts w:hint="eastAsia"/>
        </w:rPr>
        <w:t>. Therefore, we can get the SNR values for 10MHz CBWs as below:</w:t>
      </w:r>
    </w:p>
    <w:p w:rsidR="00B96AA0" w:rsidRPr="007270C6" w:rsidRDefault="00B96AA0" w:rsidP="00B96AA0">
      <w:pPr>
        <w:spacing w:afterLines="50" w:after="120"/>
        <w:jc w:val="center"/>
        <w:rPr>
          <w:rFonts w:ascii="Arial" w:hAnsi="Arial" w:cs="Arial"/>
        </w:rPr>
      </w:pPr>
      <w:r w:rsidRPr="007270C6">
        <w:rPr>
          <w:rFonts w:ascii="Arial" w:hAnsi="Arial" w:cs="Arial"/>
          <w:b/>
          <w:lang w:val="en-US"/>
        </w:rPr>
        <w:t xml:space="preserve">Table </w:t>
      </w:r>
      <w:r>
        <w:rPr>
          <w:rFonts w:ascii="Arial" w:hAnsi="Arial" w:cs="Arial" w:hint="eastAsia"/>
          <w:b/>
          <w:lang w:val="en-US"/>
        </w:rPr>
        <w:t>2</w:t>
      </w:r>
      <w:r w:rsidRPr="007270C6">
        <w:rPr>
          <w:rFonts w:ascii="Arial" w:hAnsi="Arial" w:cs="Arial"/>
          <w:b/>
          <w:lang w:val="en-US"/>
        </w:rPr>
        <w:t xml:space="preserve">: </w:t>
      </w:r>
      <w:r w:rsidRPr="007270C6">
        <w:rPr>
          <w:rFonts w:ascii="Arial" w:hAnsi="Arial" w:cs="Arial"/>
          <w:b/>
        </w:rPr>
        <w:t>SNR</w:t>
      </w:r>
      <w:r>
        <w:rPr>
          <w:rFonts w:ascii="Arial" w:hAnsi="Arial" w:cs="Arial" w:hint="eastAsia"/>
          <w:b/>
        </w:rPr>
        <w:t xml:space="preserve"> values for </w:t>
      </w:r>
      <w:r w:rsidR="007A54D1">
        <w:rPr>
          <w:rFonts w:ascii="Arial" w:hAnsi="Arial" w:cs="Arial"/>
          <w:b/>
        </w:rPr>
        <w:t>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706"/>
        <w:gridCol w:w="1006"/>
      </w:tblGrid>
      <w:tr w:rsidR="005D6A66" w:rsidRPr="0093314D" w:rsidTr="00B70A06">
        <w:trPr>
          <w:jc w:val="center"/>
        </w:trPr>
        <w:tc>
          <w:tcPr>
            <w:tcW w:w="0" w:type="auto"/>
          </w:tcPr>
          <w:p w:rsidR="005D6A66" w:rsidRPr="0093314D" w:rsidRDefault="005D6A66" w:rsidP="00B96AA0">
            <w:pPr>
              <w:pStyle w:val="TAH"/>
              <w:rPr>
                <w:rFonts w:cs="Arial" w:hint="eastAsia"/>
              </w:rPr>
            </w:pPr>
            <w:r>
              <w:rPr>
                <w:rFonts w:cs="Arial" w:hint="eastAsia"/>
              </w:rPr>
              <w:t>Channel BW (MHz)</w:t>
            </w:r>
          </w:p>
        </w:tc>
        <w:tc>
          <w:tcPr>
            <w:tcW w:w="0" w:type="auto"/>
          </w:tcPr>
          <w:p w:rsidR="005D6A66" w:rsidRDefault="005D6A66" w:rsidP="00B96AA0">
            <w:pPr>
              <w:pStyle w:val="TAH"/>
              <w:rPr>
                <w:rFonts w:cs="Arial" w:hint="eastAsia"/>
              </w:rPr>
            </w:pPr>
            <w:r>
              <w:rPr>
                <w:rFonts w:cs="Arial" w:hint="eastAsia"/>
              </w:rPr>
              <w:t>BLER</w:t>
            </w:r>
          </w:p>
        </w:tc>
        <w:tc>
          <w:tcPr>
            <w:tcW w:w="0" w:type="auto"/>
          </w:tcPr>
          <w:p w:rsidR="005D6A66" w:rsidRPr="0093314D" w:rsidRDefault="005D6A66" w:rsidP="00B96AA0">
            <w:pPr>
              <w:pStyle w:val="TAH"/>
              <w:rPr>
                <w:rFonts w:cs="Arial" w:hint="eastAsia"/>
              </w:rPr>
            </w:pPr>
            <w:r>
              <w:rPr>
                <w:rFonts w:cs="Arial" w:hint="eastAsia"/>
              </w:rPr>
              <w:t>SNR (dB)</w:t>
            </w:r>
          </w:p>
        </w:tc>
      </w:tr>
      <w:tr w:rsidR="007F0555" w:rsidRPr="0091081B" w:rsidTr="007F0555">
        <w:trPr>
          <w:jc w:val="center"/>
        </w:trPr>
        <w:tc>
          <w:tcPr>
            <w:tcW w:w="0" w:type="auto"/>
            <w:vMerge w:val="restart"/>
            <w:vAlign w:val="center"/>
          </w:tcPr>
          <w:p w:rsidR="007F0555" w:rsidRPr="0026045F" w:rsidRDefault="007F0555" w:rsidP="007F0555">
            <w:pPr>
              <w:pStyle w:val="TAL"/>
              <w:jc w:val="center"/>
              <w:rPr>
                <w:rFonts w:cs="Arial" w:hint="eastAsia"/>
              </w:rPr>
            </w:pPr>
            <w:r>
              <w:rPr>
                <w:rFonts w:cs="Arial" w:hint="eastAsia"/>
              </w:rPr>
              <w:t>10</w:t>
            </w:r>
          </w:p>
        </w:tc>
        <w:tc>
          <w:tcPr>
            <w:tcW w:w="0" w:type="auto"/>
          </w:tcPr>
          <w:p w:rsidR="007F0555" w:rsidRDefault="007F0555" w:rsidP="005D6A66">
            <w:pPr>
              <w:pStyle w:val="TAC"/>
              <w:rPr>
                <w:rFonts w:cs="Arial" w:hint="eastAsia"/>
              </w:rPr>
            </w:pPr>
            <w:r>
              <w:rPr>
                <w:rFonts w:cs="Arial" w:hint="eastAsia"/>
              </w:rPr>
              <w:t>0.05</w:t>
            </w:r>
          </w:p>
        </w:tc>
        <w:tc>
          <w:tcPr>
            <w:tcW w:w="0" w:type="auto"/>
          </w:tcPr>
          <w:p w:rsidR="007F0555" w:rsidRPr="002B6B84" w:rsidRDefault="00D84B40" w:rsidP="00B96AA0">
            <w:pPr>
              <w:pStyle w:val="TAC"/>
              <w:rPr>
                <w:rFonts w:cs="Arial" w:hint="eastAsia"/>
              </w:rPr>
            </w:pPr>
            <w:r>
              <w:rPr>
                <w:rFonts w:cs="Arial" w:hint="eastAsia"/>
              </w:rPr>
              <w:t>-</w:t>
            </w:r>
            <w:r>
              <w:rPr>
                <w:rFonts w:cs="Arial"/>
              </w:rPr>
              <w:t>0.78</w:t>
            </w:r>
          </w:p>
        </w:tc>
      </w:tr>
      <w:tr w:rsidR="007F0555" w:rsidRPr="0010268C" w:rsidTr="00B70A06">
        <w:trPr>
          <w:jc w:val="center"/>
        </w:trPr>
        <w:tc>
          <w:tcPr>
            <w:tcW w:w="0" w:type="auto"/>
            <w:vMerge/>
          </w:tcPr>
          <w:p w:rsidR="007F0555" w:rsidRPr="001E2D04" w:rsidRDefault="007F0555" w:rsidP="00B96AA0">
            <w:pPr>
              <w:pStyle w:val="TAL"/>
              <w:jc w:val="center"/>
              <w:rPr>
                <w:rFonts w:cs="Arial"/>
              </w:rPr>
            </w:pPr>
          </w:p>
        </w:tc>
        <w:tc>
          <w:tcPr>
            <w:tcW w:w="0" w:type="auto"/>
          </w:tcPr>
          <w:p w:rsidR="007F0555" w:rsidRDefault="007F0555" w:rsidP="00B96AA0">
            <w:pPr>
              <w:pStyle w:val="TAC"/>
              <w:rPr>
                <w:rFonts w:cs="Arial" w:hint="eastAsia"/>
              </w:rPr>
            </w:pPr>
            <w:r>
              <w:rPr>
                <w:rFonts w:cs="Arial" w:hint="eastAsia"/>
              </w:rPr>
              <w:t>0</w:t>
            </w:r>
            <w:r>
              <w:rPr>
                <w:rFonts w:cs="Arial"/>
              </w:rPr>
              <w:t>.1</w:t>
            </w:r>
          </w:p>
        </w:tc>
        <w:tc>
          <w:tcPr>
            <w:tcW w:w="0" w:type="auto"/>
          </w:tcPr>
          <w:p w:rsidR="007F0555" w:rsidRPr="00A319F7" w:rsidRDefault="007F0555" w:rsidP="00D84B40">
            <w:pPr>
              <w:pStyle w:val="TAC"/>
              <w:rPr>
                <w:rFonts w:cs="Arial" w:hint="eastAsia"/>
              </w:rPr>
            </w:pPr>
            <w:r>
              <w:rPr>
                <w:rFonts w:cs="Arial" w:hint="eastAsia"/>
              </w:rPr>
              <w:t>-</w:t>
            </w:r>
            <w:r w:rsidR="00D84B40">
              <w:rPr>
                <w:rFonts w:cs="Arial"/>
              </w:rPr>
              <w:t>0.9</w:t>
            </w:r>
          </w:p>
        </w:tc>
      </w:tr>
    </w:tbl>
    <w:p w:rsidR="00B96AA0" w:rsidRPr="007270C6" w:rsidRDefault="00D84B40" w:rsidP="007270C6">
      <w:pPr>
        <w:spacing w:beforeLines="50" w:before="120"/>
        <w:rPr>
          <w:rFonts w:hint="eastAsia"/>
        </w:rPr>
      </w:pPr>
      <w:r>
        <w:t>Comparing the assumption for DL link level simulation</w:t>
      </w:r>
      <w:r w:rsidR="00FC0D1B">
        <w:t xml:space="preserve"> </w:t>
      </w:r>
      <w:r w:rsidR="00FC0D1B">
        <w:fldChar w:fldCharType="begin"/>
      </w:r>
      <w:r w:rsidR="00FC0D1B">
        <w:instrText xml:space="preserve"> REF _Ref47692352 \r \h </w:instrText>
      </w:r>
      <w:r w:rsidR="00FC0D1B">
        <w:fldChar w:fldCharType="separate"/>
      </w:r>
      <w:r w:rsidR="00FC0D1B">
        <w:t>[</w:t>
      </w:r>
      <w:r w:rsidR="004862CF">
        <w:t>2</w:t>
      </w:r>
      <w:r w:rsidR="00FC0D1B">
        <w:t>]</w:t>
      </w:r>
      <w:r w:rsidR="00FC0D1B">
        <w:fldChar w:fldCharType="end"/>
      </w:r>
      <w:r>
        <w:t>, DMRS</w:t>
      </w:r>
      <w:r w:rsidR="00FC0D1B">
        <w:t xml:space="preserve"> overhead </w:t>
      </w:r>
      <w:r>
        <w:t>for PSSCH and PDSCH</w:t>
      </w:r>
      <w:r w:rsidR="00FC0D1B">
        <w:t xml:space="preserve"> are the same</w:t>
      </w:r>
      <w:r>
        <w:t xml:space="preserve">, </w:t>
      </w:r>
      <w:r w:rsidR="00FC0D1B">
        <w:t xml:space="preserve">but except </w:t>
      </w:r>
      <w:r w:rsidR="004862CF">
        <w:t xml:space="preserve">for </w:t>
      </w:r>
      <w:r w:rsidR="00FC0D1B">
        <w:t>control information overhead, i.e., PSCCH, there are additional overhead as AGC symbol and GAP symbol for V2X</w:t>
      </w:r>
      <w:r>
        <w:t>.</w:t>
      </w:r>
      <w:r w:rsidR="00FC0D1B">
        <w:t xml:space="preserve"> Thus V2X</w:t>
      </w:r>
      <w:r>
        <w:t xml:space="preserve"> SNR value increase</w:t>
      </w:r>
      <w:r w:rsidR="004862CF">
        <w:t>s</w:t>
      </w:r>
      <w:r>
        <w:t xml:space="preserve"> approximately 0.6dB at 0.1 and 0.05 BLER</w:t>
      </w:r>
      <w:r w:rsidR="00FC0D1B">
        <w:t>,</w:t>
      </w:r>
      <w:r w:rsidR="00FC0D1B" w:rsidRPr="00FC0D1B">
        <w:t xml:space="preserve"> </w:t>
      </w:r>
      <w:r w:rsidR="00FC0D1B">
        <w:t xml:space="preserve">comparing to the simulation result of NR-Uu </w:t>
      </w:r>
      <w:r w:rsidR="00FC0D1B">
        <w:fldChar w:fldCharType="begin"/>
      </w:r>
      <w:r w:rsidR="00FC0D1B">
        <w:instrText xml:space="preserve"> REF _Ref47692352 \r \h </w:instrText>
      </w:r>
      <w:r w:rsidR="00FC0D1B">
        <w:fldChar w:fldCharType="separate"/>
      </w:r>
      <w:r w:rsidR="00FC0D1B">
        <w:t>[</w:t>
      </w:r>
      <w:r w:rsidR="004862CF">
        <w:t>2</w:t>
      </w:r>
      <w:r w:rsidR="00FC0D1B">
        <w:t>]</w:t>
      </w:r>
      <w:r w:rsidR="00FC0D1B">
        <w:fldChar w:fldCharType="end"/>
      </w:r>
      <w:r w:rsidR="00FC0D1B">
        <w:t xml:space="preserve"> as shown in </w:t>
      </w:r>
      <w:r w:rsidR="00FC0D1B">
        <w:fldChar w:fldCharType="begin"/>
      </w:r>
      <w:r w:rsidR="00FC0D1B">
        <w:instrText xml:space="preserve"> REF _Ref47686858 \h </w:instrText>
      </w:r>
      <w:r w:rsidR="00FC0D1B">
        <w:fldChar w:fldCharType="separate"/>
      </w:r>
      <w:r w:rsidR="00FC0D1B">
        <w:t xml:space="preserve">Figure </w:t>
      </w:r>
      <w:r w:rsidR="00FC0D1B">
        <w:rPr>
          <w:noProof/>
        </w:rPr>
        <w:t>2</w:t>
      </w:r>
      <w:r w:rsidR="00FC0D1B">
        <w:fldChar w:fldCharType="end"/>
      </w:r>
      <w:r w:rsidR="00FC0D1B">
        <w:t>.</w:t>
      </w:r>
      <w:r w:rsidR="00106644">
        <w:rPr>
          <w:rFonts w:hint="eastAsia"/>
        </w:rPr>
        <w:t xml:space="preserve"> </w:t>
      </w:r>
    </w:p>
    <w:p w:rsidR="00062E8E" w:rsidRDefault="00062E8E" w:rsidP="003B5F9D">
      <w:pPr>
        <w:pStyle w:val="Heading1"/>
        <w:rPr>
          <w:rFonts w:eastAsia="宋体" w:hint="eastAsia"/>
          <w:lang w:eastAsia="zh-CN"/>
        </w:rPr>
      </w:pPr>
      <w:r>
        <w:rPr>
          <w:rFonts w:eastAsia="宋体" w:hint="eastAsia"/>
          <w:lang w:eastAsia="zh-CN"/>
        </w:rPr>
        <w:t>Conclusion</w:t>
      </w:r>
    </w:p>
    <w:p w:rsidR="00C6567C" w:rsidRDefault="004862CF" w:rsidP="00984CCD">
      <w:r>
        <w:t xml:space="preserve">SNR simulation results for NR V2X are provided in this contribution. </w:t>
      </w:r>
      <w:r w:rsidR="007A54D1">
        <w:t>To complete the remaining REFSENS issue, we propose to change the previously assumed V2X SNR from -1dB to -0.5dB.</w:t>
      </w:r>
    </w:p>
    <w:p w:rsidR="007A54D1" w:rsidRPr="007A54D1" w:rsidRDefault="007A54D1" w:rsidP="00984CCD">
      <w:pPr>
        <w:rPr>
          <w:rFonts w:hint="eastAsia"/>
          <w:b/>
          <w:i/>
        </w:rPr>
      </w:pPr>
      <w:r w:rsidRPr="007A54D1">
        <w:rPr>
          <w:b/>
          <w:i/>
        </w:rPr>
        <w:t>Proposal: It is pro</w:t>
      </w:r>
      <w:r>
        <w:rPr>
          <w:b/>
          <w:i/>
        </w:rPr>
        <w:t>posed to define the SNR for NR V2X as [-0.5dB] for all SCS and revise the REFSENS accordingly.</w:t>
      </w:r>
    </w:p>
    <w:p w:rsidR="00B22DA6" w:rsidRDefault="00B22DA6" w:rsidP="00B22DA6">
      <w:pPr>
        <w:pStyle w:val="Heading1"/>
        <w:numPr>
          <w:ilvl w:val="0"/>
          <w:numId w:val="0"/>
        </w:numPr>
        <w:rPr>
          <w:rFonts w:eastAsia="宋体" w:hint="eastAsia"/>
          <w:lang w:eastAsia="zh-CN"/>
        </w:rPr>
      </w:pPr>
      <w:r>
        <w:t>References</w:t>
      </w:r>
    </w:p>
    <w:p w:rsidR="004862CF" w:rsidRPr="004862CF" w:rsidRDefault="004862CF" w:rsidP="004862CF">
      <w:pPr>
        <w:numPr>
          <w:ilvl w:val="0"/>
          <w:numId w:val="36"/>
        </w:numPr>
        <w:rPr>
          <w:lang w:val="en-US"/>
        </w:rPr>
      </w:pPr>
      <w:bookmarkStart w:id="5" w:name="_Ref47692352"/>
      <w:r w:rsidRPr="004862CF">
        <w:t>R4-2009168</w:t>
      </w:r>
      <w:r>
        <w:t xml:space="preserve">, </w:t>
      </w:r>
      <w:r w:rsidRPr="004862CF">
        <w:t>WF on remaining TS38.101-1 and TS38.101-3 for NR V2X</w:t>
      </w:r>
      <w:r>
        <w:t xml:space="preserve">, </w:t>
      </w:r>
      <w:r w:rsidRPr="004862CF">
        <w:rPr>
          <w:lang w:val="en-US"/>
        </w:rPr>
        <w:t>LG Electronics, Huawei, HiSilicon, CATT</w:t>
      </w:r>
    </w:p>
    <w:p w:rsidR="00F07A23" w:rsidRPr="00106644" w:rsidRDefault="00376975" w:rsidP="00D84B40">
      <w:pPr>
        <w:numPr>
          <w:ilvl w:val="0"/>
          <w:numId w:val="36"/>
        </w:numPr>
        <w:rPr>
          <w:rFonts w:hint="eastAsia"/>
        </w:rPr>
      </w:pPr>
      <w:r w:rsidRPr="00376975">
        <w:t>R4-</w:t>
      </w:r>
      <w:r w:rsidR="00D84B40">
        <w:t>17</w:t>
      </w:r>
      <w:r w:rsidR="00D84B40">
        <w:rPr>
          <w:rFonts w:hint="eastAsia"/>
        </w:rPr>
        <w:t>09564</w:t>
      </w:r>
      <w:r>
        <w:rPr>
          <w:rFonts w:hint="eastAsia"/>
        </w:rPr>
        <w:t xml:space="preserve">, </w:t>
      </w:r>
      <w:r w:rsidR="00D84B40" w:rsidRPr="00D84B40">
        <w:t>Preliminary SNR values for NR UE REFSENS</w:t>
      </w:r>
      <w:r w:rsidR="00126870">
        <w:rPr>
          <w:rFonts w:hint="eastAsia"/>
        </w:rPr>
        <w:t>, Huawei, Hisilicon</w:t>
      </w:r>
      <w:bookmarkEnd w:id="5"/>
    </w:p>
    <w:sectPr w:rsidR="00F07A23" w:rsidRPr="00106644"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1B5" w:rsidRDefault="008A71B5" w:rsidP="0052762B">
      <w:r>
        <w:separator/>
      </w:r>
    </w:p>
  </w:endnote>
  <w:endnote w:type="continuationSeparator" w:id="0">
    <w:p w:rsidR="008A71B5" w:rsidRDefault="008A71B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1B5" w:rsidRDefault="008A71B5" w:rsidP="0052762B">
      <w:r>
        <w:separator/>
      </w:r>
    </w:p>
  </w:footnote>
  <w:footnote w:type="continuationSeparator" w:id="0">
    <w:p w:rsidR="008A71B5" w:rsidRDefault="008A71B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5"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62B6C"/>
    <w:multiLevelType w:val="hybridMultilevel"/>
    <w:tmpl w:val="0B589DF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2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7"/>
  </w:num>
  <w:num w:numId="3">
    <w:abstractNumId w:val="21"/>
  </w:num>
  <w:num w:numId="4">
    <w:abstractNumId w:val="30"/>
  </w:num>
  <w:num w:numId="5">
    <w:abstractNumId w:val="1"/>
  </w:num>
  <w:num w:numId="6">
    <w:abstractNumId w:val="29"/>
  </w:num>
  <w:num w:numId="7">
    <w:abstractNumId w:val="14"/>
  </w:num>
  <w:num w:numId="8">
    <w:abstractNumId w:val="23"/>
  </w:num>
  <w:num w:numId="9">
    <w:abstractNumId w:val="32"/>
  </w:num>
  <w:num w:numId="10">
    <w:abstractNumId w:val="10"/>
  </w:num>
  <w:num w:numId="11">
    <w:abstractNumId w:val="6"/>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9"/>
  </w:num>
  <w:num w:numId="16">
    <w:abstractNumId w:val="6"/>
  </w:num>
  <w:num w:numId="17">
    <w:abstractNumId w:val="8"/>
  </w:num>
  <w:num w:numId="18">
    <w:abstractNumId w:val="16"/>
  </w:num>
  <w:num w:numId="19">
    <w:abstractNumId w:val="20"/>
  </w:num>
  <w:num w:numId="20">
    <w:abstractNumId w:val="19"/>
  </w:num>
  <w:num w:numId="21">
    <w:abstractNumId w:val="12"/>
  </w:num>
  <w:num w:numId="22">
    <w:abstractNumId w:val="4"/>
  </w:num>
  <w:num w:numId="23">
    <w:abstractNumId w:val="18"/>
  </w:num>
  <w:num w:numId="24">
    <w:abstractNumId w:val="28"/>
  </w:num>
  <w:num w:numId="25">
    <w:abstractNumId w:val="6"/>
  </w:num>
  <w:num w:numId="26">
    <w:abstractNumId w:val="27"/>
  </w:num>
  <w:num w:numId="27">
    <w:abstractNumId w:val="26"/>
  </w:num>
  <w:num w:numId="28">
    <w:abstractNumId w:val="15"/>
  </w:num>
  <w:num w:numId="29">
    <w:abstractNumId w:val="31"/>
  </w:num>
  <w:num w:numId="30">
    <w:abstractNumId w:val="22"/>
  </w:num>
  <w:num w:numId="31">
    <w:abstractNumId w:val="13"/>
  </w:num>
  <w:num w:numId="32">
    <w:abstractNumId w:val="24"/>
  </w:num>
  <w:num w:numId="33">
    <w:abstractNumId w:val="5"/>
  </w:num>
  <w:num w:numId="34">
    <w:abstractNumId w:val="7"/>
  </w:num>
  <w:num w:numId="35">
    <w:abstractNumId w:val="25"/>
  </w:num>
  <w:num w:numId="3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3D5"/>
    <w:rsid w:val="00032561"/>
    <w:rsid w:val="000326E2"/>
    <w:rsid w:val="00032B28"/>
    <w:rsid w:val="00033F47"/>
    <w:rsid w:val="00034BF3"/>
    <w:rsid w:val="00034F28"/>
    <w:rsid w:val="0003564D"/>
    <w:rsid w:val="000365C5"/>
    <w:rsid w:val="000368DA"/>
    <w:rsid w:val="00036DDC"/>
    <w:rsid w:val="00037162"/>
    <w:rsid w:val="000402AB"/>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E72"/>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644"/>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D7"/>
    <w:rsid w:val="001567CB"/>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54E"/>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0BE2"/>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121"/>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95"/>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A94"/>
    <w:rsid w:val="00247C8C"/>
    <w:rsid w:val="00250986"/>
    <w:rsid w:val="002512DC"/>
    <w:rsid w:val="00251632"/>
    <w:rsid w:val="002531B4"/>
    <w:rsid w:val="00253620"/>
    <w:rsid w:val="00253C2B"/>
    <w:rsid w:val="00253D35"/>
    <w:rsid w:val="002542C8"/>
    <w:rsid w:val="0025430D"/>
    <w:rsid w:val="00254398"/>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4DD"/>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F42"/>
    <w:rsid w:val="00314726"/>
    <w:rsid w:val="00315554"/>
    <w:rsid w:val="003157EA"/>
    <w:rsid w:val="00315821"/>
    <w:rsid w:val="003164E5"/>
    <w:rsid w:val="00316E2C"/>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47F3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5F9D"/>
    <w:rsid w:val="003B7022"/>
    <w:rsid w:val="003B7116"/>
    <w:rsid w:val="003B763B"/>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57B7"/>
    <w:rsid w:val="003E5CD9"/>
    <w:rsid w:val="003E67A1"/>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078CB"/>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06AD"/>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74B"/>
    <w:rsid w:val="0047795F"/>
    <w:rsid w:val="004819D9"/>
    <w:rsid w:val="00482DD9"/>
    <w:rsid w:val="004835A3"/>
    <w:rsid w:val="004837D1"/>
    <w:rsid w:val="00483943"/>
    <w:rsid w:val="00485C7E"/>
    <w:rsid w:val="00485F39"/>
    <w:rsid w:val="00486219"/>
    <w:rsid w:val="004862C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F78"/>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0E9"/>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0D43"/>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D7F43"/>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61FA"/>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49F5"/>
    <w:rsid w:val="00535174"/>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347E"/>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66"/>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F15"/>
    <w:rsid w:val="0062322C"/>
    <w:rsid w:val="00623E86"/>
    <w:rsid w:val="00624DAC"/>
    <w:rsid w:val="00625676"/>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4D"/>
    <w:rsid w:val="006358D6"/>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F17"/>
    <w:rsid w:val="006F0C66"/>
    <w:rsid w:val="006F1317"/>
    <w:rsid w:val="006F158E"/>
    <w:rsid w:val="006F1742"/>
    <w:rsid w:val="006F1D3C"/>
    <w:rsid w:val="006F1DA9"/>
    <w:rsid w:val="006F2110"/>
    <w:rsid w:val="006F2884"/>
    <w:rsid w:val="006F2E00"/>
    <w:rsid w:val="006F3859"/>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A76"/>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0C6"/>
    <w:rsid w:val="00727AEE"/>
    <w:rsid w:val="00730ED3"/>
    <w:rsid w:val="00731071"/>
    <w:rsid w:val="00731270"/>
    <w:rsid w:val="00731526"/>
    <w:rsid w:val="0073196A"/>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9"/>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4D1"/>
    <w:rsid w:val="007A5790"/>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334"/>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6C1"/>
    <w:rsid w:val="007D2D68"/>
    <w:rsid w:val="007D2E32"/>
    <w:rsid w:val="007D3207"/>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DC0"/>
    <w:rsid w:val="007E2FD9"/>
    <w:rsid w:val="007E34E3"/>
    <w:rsid w:val="007E3DB5"/>
    <w:rsid w:val="007E3ED4"/>
    <w:rsid w:val="007E4FEC"/>
    <w:rsid w:val="007E52F4"/>
    <w:rsid w:val="007E5F5F"/>
    <w:rsid w:val="007E639E"/>
    <w:rsid w:val="007E66C3"/>
    <w:rsid w:val="007E6E66"/>
    <w:rsid w:val="007E7153"/>
    <w:rsid w:val="007E7858"/>
    <w:rsid w:val="007F0555"/>
    <w:rsid w:val="007F0BBF"/>
    <w:rsid w:val="007F0C3A"/>
    <w:rsid w:val="007F1254"/>
    <w:rsid w:val="007F13E2"/>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4EF"/>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B62"/>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1B5"/>
    <w:rsid w:val="008A7EB6"/>
    <w:rsid w:val="008B0C3B"/>
    <w:rsid w:val="008B0F35"/>
    <w:rsid w:val="008B11F3"/>
    <w:rsid w:val="008B19EA"/>
    <w:rsid w:val="008B1B00"/>
    <w:rsid w:val="008B22CE"/>
    <w:rsid w:val="008B2998"/>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3D18"/>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363"/>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19"/>
    <w:rsid w:val="00A33667"/>
    <w:rsid w:val="00A33D26"/>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572"/>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A7F"/>
    <w:rsid w:val="00AD5364"/>
    <w:rsid w:val="00AD57DD"/>
    <w:rsid w:val="00AD6249"/>
    <w:rsid w:val="00AD66AB"/>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2C48"/>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0A06"/>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AA0"/>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D7A85"/>
    <w:rsid w:val="00BE04C7"/>
    <w:rsid w:val="00BE0779"/>
    <w:rsid w:val="00BE1AFD"/>
    <w:rsid w:val="00BE1D10"/>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53C5"/>
    <w:rsid w:val="00BF5952"/>
    <w:rsid w:val="00BF6425"/>
    <w:rsid w:val="00BF6840"/>
    <w:rsid w:val="00BF691D"/>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67C"/>
    <w:rsid w:val="00C65B3E"/>
    <w:rsid w:val="00C66E0C"/>
    <w:rsid w:val="00C67D98"/>
    <w:rsid w:val="00C70619"/>
    <w:rsid w:val="00C70A3D"/>
    <w:rsid w:val="00C70FAD"/>
    <w:rsid w:val="00C7131E"/>
    <w:rsid w:val="00C71626"/>
    <w:rsid w:val="00C72986"/>
    <w:rsid w:val="00C739CA"/>
    <w:rsid w:val="00C74791"/>
    <w:rsid w:val="00C7486C"/>
    <w:rsid w:val="00C74F22"/>
    <w:rsid w:val="00C7516D"/>
    <w:rsid w:val="00C757D2"/>
    <w:rsid w:val="00C75874"/>
    <w:rsid w:val="00C75C50"/>
    <w:rsid w:val="00C7649E"/>
    <w:rsid w:val="00C767BA"/>
    <w:rsid w:val="00C772B6"/>
    <w:rsid w:val="00C7749E"/>
    <w:rsid w:val="00C77518"/>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4D"/>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15A"/>
    <w:rsid w:val="00CE05F0"/>
    <w:rsid w:val="00CE05F7"/>
    <w:rsid w:val="00CE06D5"/>
    <w:rsid w:val="00CE0A06"/>
    <w:rsid w:val="00CE0FDE"/>
    <w:rsid w:val="00CE1B85"/>
    <w:rsid w:val="00CE23CA"/>
    <w:rsid w:val="00CE2A15"/>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ACD"/>
    <w:rsid w:val="00CF3FAB"/>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31E7"/>
    <w:rsid w:val="00D44FCE"/>
    <w:rsid w:val="00D461CD"/>
    <w:rsid w:val="00D46F0A"/>
    <w:rsid w:val="00D4726C"/>
    <w:rsid w:val="00D47570"/>
    <w:rsid w:val="00D47671"/>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D14"/>
    <w:rsid w:val="00D84B40"/>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254"/>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3C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D1B"/>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8F6"/>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D6C4AD-6E07-4360-A21D-32FEAD031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CE05F7"/>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384304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file:///C:\Users\g00443958\AppData\Roaming\eSpace_Desktop\UserData\g00443958\imagefiles\1280C24D-6A11-48F1-BB17-06B4A51DBCAC.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F66E-23CD-4B9B-9546-A76A43AA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3007</CharactersWithSpaces>
  <SharedDoc>false</SharedDoc>
  <HyperlinkBase/>
  <HLinks>
    <vt:vector size="6" baseType="variant">
      <vt:variant>
        <vt:i4>3145837</vt:i4>
      </vt:variant>
      <vt:variant>
        <vt:i4>3594</vt:i4>
      </vt:variant>
      <vt:variant>
        <vt:i4>1025</vt:i4>
      </vt:variant>
      <vt:variant>
        <vt:i4>1</vt:i4>
      </vt:variant>
      <vt:variant>
        <vt:lpwstr>C:\Users\g00443958\AppData\Roaming\eSpace_Desktop\UserData\g00443958\imagefiles\1280C24D-6A11-48F1-BB17-06B4A51DBCAC.png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2020-08-07T21:19:00Z</dcterms:created>
  <dcterms:modified xsi:type="dcterms:W3CDTF">2020-08-07T21:19:00Z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(3)RyymDfOc7FwVDLGfO069jDhtJf6iLv/SNhqrqMCbTt2sqEcH2OTa6THgPOffn+C4kpvXuZMT
yJKJvFkCBSRTQA/IqtrDsHoE2XsN3J0MRy0TNYP0ALL4UeXBwHLbxikdWSh/Et5qMnbEr1Ml
DWP4fC954O2mAvlSFEdMXk/s2CuyIwQCvhdMm20ILjwqCcA5TuKtFzgq6er3frmTERSM9xuU
8+jO3f+LeJ6EGL35Bc</vt:lpwstr>
  </property>
  <property fmtid="{D5CDD505-2E9C-101B-9397-08002B2CF9AE}" pid="19" name="_2015_ms_pID_725343_00">
    <vt:lpwstr>_2015_ms_pID_725343</vt:lpwstr>
  </property>
  <property fmtid="{D5CDD505-2E9C-101B-9397-08002B2CF9AE}" pid="20" name="_2015_ms_pID_7253431">
    <vt:lpwstr>n33DQVTrJyNpZQr2nsCjs2QMYylTZFQo5tGdrvcT6H25co9+vYlsQ2
EYwpfsv2SvEPzCzYrXyg7cqDoIzPSGdhih5ccxit+uldWfBKkfDIbKA/qIR1K7bqAd/ZaJzL
+hX5MW8eLpbKC1jtfwPSL80fy3RAQ0gLgtINd79d6KJNzoxdpF6GKM7dl/Cu6B8127KcpZfg
na39Sb6Y66TfvWq3Zs8yhBIg3ITXCpSQ5XXr</vt:lpwstr>
  </property>
  <property fmtid="{D5CDD505-2E9C-101B-9397-08002B2CF9AE}" pid="21" name="_2015_ms_pID_7253431_00">
    <vt:lpwstr>_2015_ms_pID_7253431</vt:lpwstr>
  </property>
  <property fmtid="{D5CDD505-2E9C-101B-9397-08002B2CF9AE}" pid="22" name="_2015_ms_pID_7253432">
    <vt:lpwstr>PA==</vt:lpwstr>
  </property>
</Properties>
</file>